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after="0" w:line="24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УТВЕРЖДЕНО</w:t>
      </w:r>
      <w:r>
        <w:rPr>
          <w:color w:val="auto"/>
          <w:sz w:val="24"/>
          <w:szCs w:val="24"/>
        </w:rPr>
        <w:t xml:space="preserve">:</w:t>
      </w:r>
      <w:r>
        <w:rPr>
          <w:color w:val="auto"/>
          <w:sz w:val="24"/>
          <w:szCs w:val="24"/>
        </w:rPr>
      </w:r>
    </w:p>
    <w:sdt>
      <w:sdtPr>
        <w:alias w:val="Наименование организации/ИП"/>
        <w15:appearance w15:val="boundingBox"/>
        <w:id w:val="816071879"/>
        <w:placeholder>
          <w:docPart w:val="DefaultPlaceholder_-1854013440"/>
        </w:placeholder>
        <w:tag w:val="Наименование организации/ИП"/>
        <w:rPr>
          <w:color w:val="auto"/>
          <w:sz w:val="24"/>
          <w:szCs w:val="24"/>
        </w:rPr>
      </w:sdtPr>
      <w:sdtContent>
        <w:p>
          <w:pPr>
            <w:contextualSpacing/>
            <w:jc w:val="right"/>
            <w:spacing w:after="0" w:line="240" w:lineRule="auto"/>
            <w:rPr>
              <w:color w:val="auto"/>
              <w:sz w:val="24"/>
              <w:szCs w:val="24"/>
            </w:rPr>
          </w:pPr>
          <w:r>
            <w:rPr>
              <w:color w:val="auto"/>
              <w:sz w:val="24"/>
              <w:szCs w:val="24"/>
            </w:rPr>
            <w:t xml:space="preserve">ООО «</w:t>
          </w:r>
          <w:r>
            <w:rPr>
              <w:color w:val="auto"/>
              <w:sz w:val="24"/>
              <w:szCs w:val="24"/>
            </w:rPr>
            <w:t xml:space="preserve">Юрвиста</w:t>
          </w:r>
          <w:r>
            <w:rPr>
              <w:color w:val="auto"/>
              <w:sz w:val="24"/>
              <w:szCs w:val="24"/>
            </w:rPr>
            <w:t xml:space="preserve">»</w:t>
          </w:r>
          <w:r>
            <w:rPr>
              <w:color w:val="auto"/>
              <w:sz w:val="24"/>
              <w:szCs w:val="24"/>
            </w:rPr>
          </w:r>
        </w:p>
      </w:sdtContent>
    </w:sdt>
    <w:p>
      <w:pPr>
        <w:contextualSpacing/>
        <w:jc w:val="right"/>
        <w:spacing w:after="0" w:line="24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ИНН</w:t>
      </w:r>
      <w:r>
        <w:rPr>
          <w:color w:val="auto"/>
          <w:sz w:val="24"/>
          <w:szCs w:val="24"/>
        </w:rPr>
        <w:t xml:space="preserve"> </w:t>
      </w:r>
      <w:sdt>
        <w:sdtPr>
          <w15:appearance w15:val="boundingBox"/>
          <w:id w:val="-1706783832"/>
          <w:placeholder>
            <w:docPart w:val="323D4EDD93074F3DA39EF984C0AE9A72"/>
          </w:placeholder>
          <w:rPr>
            <w:color w:val="auto"/>
            <w:sz w:val="24"/>
            <w:szCs w:val="24"/>
          </w:rPr>
        </w:sdtPr>
        <w:sdtContent>
          <w:r>
            <w:rPr>
              <w:color w:val="auto"/>
              <w:sz w:val="24"/>
              <w:szCs w:val="24"/>
              <w:shd w:val="clear" w:color="auto" w:fill="ffffff"/>
            </w:rPr>
            <w:t xml:space="preserve">7718683941</w:t>
          </w:r>
        </w:sdtContent>
      </w:sdt>
      <w:r/>
      <w:r>
        <w:rPr>
          <w:color w:val="auto"/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ОГРН</w:t>
      </w:r>
      <w:r>
        <w:rPr>
          <w:color w:val="auto"/>
          <w:sz w:val="24"/>
          <w:szCs w:val="24"/>
        </w:rPr>
        <w:t xml:space="preserve"> </w:t>
      </w:r>
      <w:sdt>
        <w:sdtPr>
          <w15:appearance w15:val="boundingBox"/>
          <w:id w:val="-183986911"/>
          <w:placeholder>
            <w:docPart w:val="3BBD59A2C53A46C7A802FEB55264DCFD"/>
          </w:placeholder>
          <w:rPr>
            <w:color w:val="auto"/>
            <w:sz w:val="24"/>
            <w:szCs w:val="24"/>
          </w:rPr>
        </w:sdtPr>
        <w:sdtContent>
          <w:r>
            <w:rPr>
              <w:color w:val="auto"/>
              <w:sz w:val="24"/>
              <w:szCs w:val="24"/>
              <w:shd w:val="clear" w:color="auto" w:fill="ffffff"/>
            </w:rPr>
            <w:t xml:space="preserve">1087746040140</w:t>
          </w:r>
        </w:sdtContent>
      </w:sdt>
      <w:r/>
      <w:r>
        <w:rPr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Редакция </w:t>
      </w:r>
      <w:r>
        <w:rPr>
          <w:sz w:val="24"/>
          <w:szCs w:val="24"/>
        </w:rPr>
        <w:t xml:space="preserve">от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01.02.2026г.</w:t>
      </w:r>
      <w:r>
        <w:rPr>
          <w:sz w:val="24"/>
          <w:szCs w:val="24"/>
        </w:rPr>
      </w:r>
    </w:p>
    <w:p>
      <w:pPr>
        <w:contextualSpacing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ПОЛИТИКА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 ОТНОШЕНИИ ОБРАБОТКИ ПЕРСОНАЛЬНЫХ ДАННЫХ</w:t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ОБЩИЕ ПОЛОЖЕНИЯ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Настоящая Политика </w:t>
      </w:r>
      <w:r>
        <w:rPr>
          <w:color w:val="auto"/>
          <w:sz w:val="23"/>
          <w:szCs w:val="23"/>
        </w:rPr>
        <w:t xml:space="preserve">в отношении обработки персональных данных </w:t>
      </w:r>
      <w:r>
        <w:rPr>
          <w:color w:val="auto"/>
          <w:sz w:val="23"/>
          <w:szCs w:val="23"/>
        </w:rPr>
        <w:t xml:space="preserve">(далее – Политика)</w:t>
      </w:r>
      <w:r>
        <w:rPr>
          <w:color w:val="auto"/>
          <w:sz w:val="23"/>
          <w:szCs w:val="23"/>
        </w:rPr>
        <w:t xml:space="preserve"> издана и применяется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  <w:shd w:val="clear" w:color="auto" w:fill="ffffff"/>
        </w:rPr>
        <w:t xml:space="preserve">ООО «</w:t>
      </w:r>
      <w:r>
        <w:rPr>
          <w:color w:val="auto"/>
          <w:sz w:val="23"/>
          <w:szCs w:val="23"/>
          <w:shd w:val="clear" w:color="auto" w:fill="ffffff"/>
        </w:rPr>
        <w:t xml:space="preserve">Юрвиста</w:t>
      </w:r>
      <w:r>
        <w:rPr>
          <w:color w:val="auto"/>
          <w:sz w:val="23"/>
          <w:szCs w:val="23"/>
          <w:shd w:val="clear" w:color="auto" w:fill="ffffff"/>
        </w:rPr>
        <w:t xml:space="preserve">», ИНН 7718683941, КПП 770101001, ОГРН 1087746040140, адрес места нахождения: 101000, г. Москва, ул. Покровка, д. 3/7, стр. 1б, </w:t>
      </w:r>
      <w:r>
        <w:rPr>
          <w:color w:val="auto"/>
          <w:sz w:val="23"/>
          <w:szCs w:val="23"/>
          <w:shd w:val="clear" w:color="auto" w:fill="ffffff"/>
        </w:rPr>
        <w:t xml:space="preserve">эт</w:t>
      </w:r>
      <w:r>
        <w:rPr>
          <w:color w:val="auto"/>
          <w:sz w:val="23"/>
          <w:szCs w:val="23"/>
          <w:shd w:val="clear" w:color="auto" w:fill="ffffff"/>
        </w:rPr>
        <w:t xml:space="preserve">. 3, пом. </w:t>
      </w:r>
      <w:r>
        <w:rPr>
          <w:color w:val="auto"/>
          <w:sz w:val="23"/>
          <w:szCs w:val="23"/>
          <w:shd w:val="clear" w:color="auto" w:fill="ffffff"/>
          <w:lang w:val="en-US"/>
        </w:rPr>
        <w:t xml:space="preserve">III</w:t>
      </w:r>
      <w:r>
        <w:rPr>
          <w:color w:val="auto"/>
          <w:sz w:val="23"/>
          <w:szCs w:val="23"/>
          <w:shd w:val="clear" w:color="auto" w:fill="ffffff"/>
        </w:rPr>
        <w:t xml:space="preserve">, ком. 4, ман., пом. </w:t>
      </w:r>
      <w:r>
        <w:rPr>
          <w:color w:val="auto"/>
          <w:sz w:val="23"/>
          <w:szCs w:val="23"/>
          <w:shd w:val="clear" w:color="auto" w:fill="ffffff"/>
          <w:lang w:val="en-US"/>
        </w:rPr>
        <w:t xml:space="preserve">I</w:t>
      </w:r>
      <w:r>
        <w:rPr>
          <w:color w:val="auto"/>
          <w:sz w:val="23"/>
          <w:szCs w:val="23"/>
          <w:shd w:val="clear" w:color="auto" w:fill="ffffff"/>
        </w:rPr>
        <w:t xml:space="preserve">, ком. 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(далее – Оператор). </w:t>
      </w:r>
      <w:r>
        <w:rPr>
          <w:color w:val="auto"/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Политика </w:t>
      </w:r>
      <w:r>
        <w:rPr>
          <w:sz w:val="23"/>
          <w:szCs w:val="23"/>
        </w:rPr>
        <w:t xml:space="preserve">составлена в соответствии с </w:t>
      </w:r>
      <w:r>
        <w:rPr>
          <w:sz w:val="23"/>
          <w:szCs w:val="23"/>
        </w:rPr>
        <w:t xml:space="preserve">п. 2 ч. 1 ст. 18.1 Федерального закона от 27.07.2006 № 152-ФЗ «О персональных данных» (далее – Закон о персональных данных), иными нормативно-правовыми актами, регулирующими вопросы защиты и обработки персональных данных на территории Российской Федерации,</w:t>
      </w:r>
      <w:r>
        <w:rPr>
          <w:sz w:val="23"/>
          <w:szCs w:val="23"/>
        </w:rPr>
        <w:t xml:space="preserve"> и действует в отношении всех персональных данных (далее – Данные), которые Оператор как владелец интернет-сайта </w:t>
      </w:r>
      <w:hyperlink r:id="rId11" w:tooltip="https://urvista.ru/" w:history="1">
        <w:r>
          <w:rPr>
            <w:rStyle w:val="661"/>
            <w:color w:val="auto"/>
            <w:sz w:val="23"/>
            <w:szCs w:val="23"/>
            <w:u w:val="none"/>
          </w:rPr>
          <w:t xml:space="preserve">https://urvista.ru/</w:t>
        </w:r>
      </w:hyperlink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(</w:t>
      </w:r>
      <w:r>
        <w:rPr>
          <w:sz w:val="23"/>
          <w:szCs w:val="23"/>
        </w:rPr>
        <w:t xml:space="preserve">далее – С</w:t>
      </w:r>
      <w:r>
        <w:rPr>
          <w:sz w:val="23"/>
          <w:szCs w:val="23"/>
        </w:rPr>
        <w:t xml:space="preserve">айт) может получить от субъектов </w:t>
      </w:r>
      <w:r>
        <w:rPr>
          <w:sz w:val="23"/>
          <w:szCs w:val="23"/>
        </w:rPr>
        <w:t xml:space="preserve">персональных данных (п</w:t>
      </w:r>
      <w:r>
        <w:rPr>
          <w:sz w:val="23"/>
          <w:szCs w:val="23"/>
        </w:rPr>
        <w:t xml:space="preserve">осетители (пользователи) Сайта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Контроль за исполнением требований настоящей Политики осуществляется лицом, ответственным за</w:t>
      </w:r>
      <w:r>
        <w:rPr>
          <w:sz w:val="23"/>
          <w:szCs w:val="23"/>
        </w:rPr>
        <w:t xml:space="preserve"> организацию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обработки </w:t>
      </w:r>
      <w:r>
        <w:rPr>
          <w:sz w:val="23"/>
          <w:szCs w:val="23"/>
        </w:rPr>
        <w:t xml:space="preserve">персональных данных у Оператора.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Во исполнение требований ч. 2 ст. 18.1 Закона о персональных данных настоящая Политика размещается </w:t>
      </w:r>
      <w:r>
        <w:rPr>
          <w:sz w:val="23"/>
          <w:szCs w:val="23"/>
        </w:rPr>
        <w:t xml:space="preserve">на С</w:t>
      </w:r>
      <w:r>
        <w:rPr>
          <w:sz w:val="23"/>
          <w:szCs w:val="23"/>
        </w:rPr>
        <w:t xml:space="preserve">айте Оператора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</w:t>
      </w:r>
      <w:r>
        <w:rPr>
          <w:sz w:val="23"/>
          <w:szCs w:val="23"/>
        </w:rPr>
        <w:t xml:space="preserve">вправе</w:t>
      </w:r>
      <w:r>
        <w:rPr>
          <w:sz w:val="23"/>
          <w:szCs w:val="23"/>
        </w:rPr>
        <w:t xml:space="preserve"> вносить изменения в Политику. При внесении изменений в заголовке Политики указывается дата последнего обновления редакции. </w:t>
      </w:r>
      <w:r>
        <w:rPr>
          <w:sz w:val="23"/>
          <w:szCs w:val="23"/>
        </w:rPr>
        <w:t xml:space="preserve">Новая редакция Политики вступает в силу с момента ее размещения </w:t>
      </w:r>
      <w:r>
        <w:rPr>
          <w:sz w:val="23"/>
          <w:szCs w:val="23"/>
        </w:rPr>
        <w:t xml:space="preserve">на </w:t>
      </w:r>
      <w:r>
        <w:rPr>
          <w:sz w:val="23"/>
          <w:szCs w:val="23"/>
        </w:rPr>
        <w:t xml:space="preserve">Сайте</w:t>
      </w:r>
      <w:r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если иное не предусмотрено новой редакцией Политики.</w:t>
      </w:r>
      <w:r>
        <w:rPr>
          <w:sz w:val="23"/>
          <w:szCs w:val="23"/>
        </w:rPr>
      </w:r>
    </w:p>
    <w:p>
      <w:pPr>
        <w:contextualSpacing/>
        <w:jc w:val="both"/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ТЕРМИНЫ, ИСПОЛЬЗУЕМЫЕ В НАСТОЯЩЕЙ ПОЛИТИКЕ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Персональные данные </w:t>
      </w:r>
      <w:r>
        <w:rPr>
          <w:sz w:val="23"/>
          <w:szCs w:val="23"/>
        </w:rPr>
        <w:t xml:space="preserve">– любая информация, относящаяся к прямо или косвенно определенному или определяемому физическому лицу (субъекту персональных данных).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Оператор персональных данных </w:t>
      </w:r>
      <w:r>
        <w:rPr>
          <w:sz w:val="23"/>
          <w:szCs w:val="23"/>
        </w:rPr>
        <w:t xml:space="preserve">(Оператор) – государственный орган, муниципальный орган, юридическое или физическое лицо, самостоятельно или с</w:t>
      </w:r>
      <w:r>
        <w:rPr>
          <w:sz w:val="23"/>
          <w:szCs w:val="23"/>
        </w:rPr>
        <w:t xml:space="preserve">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Обработка персональных данных</w:t>
      </w:r>
      <w:r>
        <w:rPr>
          <w:sz w:val="23"/>
          <w:szCs w:val="23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</w:t>
      </w:r>
      <w:r>
        <w:rPr>
          <w:sz w:val="23"/>
          <w:szCs w:val="23"/>
        </w:rPr>
        <w:t xml:space="preserve">я. Обработка персональных данных включает в себя в том числе: сбор; запись; систематизацию; накопление; хранение; уточнение (обновление, изменение); извлечение; использование; передачу (распространение, предоставление, доступ); обезличивание; блокирование;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удаление;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уничтожение.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Автоматизированная обработка персональных данных</w:t>
      </w:r>
      <w:r>
        <w:rPr>
          <w:sz w:val="23"/>
          <w:szCs w:val="23"/>
        </w:rPr>
        <w:t xml:space="preserve"> – обработка персональных данных с помощью средств вычислительной техники.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Распространение персональных данных</w:t>
      </w:r>
      <w:r>
        <w:rPr>
          <w:sz w:val="23"/>
          <w:szCs w:val="23"/>
        </w:rPr>
        <w:t xml:space="preserve"> – действия, направленные на раскрытие персональных данных неопределенному кругу лиц.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Предоставление персональных данных</w:t>
      </w:r>
      <w:r>
        <w:rPr>
          <w:sz w:val="23"/>
          <w:szCs w:val="23"/>
        </w:rPr>
        <w:t xml:space="preserve"> – действия, направленные на раскрытие персональных данных определенному лицу или определенному кругу лиц.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Блокирование персональных данных</w:t>
      </w:r>
      <w:r>
        <w:rPr>
          <w:sz w:val="23"/>
          <w:szCs w:val="23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Уничтожение персональных данных</w:t>
      </w:r>
      <w:r>
        <w:rPr>
          <w:sz w:val="23"/>
          <w:szCs w:val="23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Обезличивание персональных данных</w:t>
      </w:r>
      <w:r>
        <w:rPr>
          <w:sz w:val="23"/>
          <w:szCs w:val="23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Информационная система персональных данных</w:t>
      </w:r>
      <w:r>
        <w:rPr>
          <w:sz w:val="23"/>
          <w:szCs w:val="23"/>
        </w:rPr>
        <w:t xml:space="preserve"> – совокупность содержащихся в базах данных персональных данных и обеспечивающих их обработку, информационных технологий и технических средств.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Трансграничная передача персональных данных</w:t>
      </w:r>
      <w:r>
        <w:rPr>
          <w:sz w:val="23"/>
          <w:szCs w:val="23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  <w:r>
        <w:rPr>
          <w:sz w:val="23"/>
          <w:szCs w:val="23"/>
        </w:rPr>
      </w:r>
    </w:p>
    <w:p>
      <w:pPr>
        <w:pStyle w:val="650"/>
        <w:contextualSpacing w:val="0"/>
        <w:ind w:left="432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ПРИНЦИПЫ</w:t>
      </w:r>
      <w:r>
        <w:rPr>
          <w:sz w:val="23"/>
          <w:szCs w:val="23"/>
        </w:rPr>
        <w:t xml:space="preserve"> ОБРАБОТКИ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осуществляется Оператором в соответствии с требованиями Закона о персональных данных и на основе следующих принципов: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осуществляется на законной и справедливой основе;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обработке подлежат только персональные данные, которые отвечают целям их обработки;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содержание и объем обрабатываемых персональных данных соответствует заявленным целям обработки. Не допускается избыточность обрабатываемых персональных данных по отношению к заявленным целям их обработки;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при обработке персональных данных обеспечиваются точн</w:t>
      </w:r>
      <w:r>
        <w:rPr>
          <w:sz w:val="23"/>
          <w:szCs w:val="23"/>
        </w:rPr>
        <w:t xml:space="preserve">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либо обеспечивает их принятие по удалению или уточнению неполных или неточных данных;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хранение персональных данн</w:t>
      </w:r>
      <w:r>
        <w:rPr>
          <w:sz w:val="23"/>
          <w:szCs w:val="23"/>
        </w:rPr>
        <w:t xml:space="preserve">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r>
        <w:rPr>
          <w:sz w:val="23"/>
          <w:szCs w:val="23"/>
        </w:rPr>
        <w:t xml:space="preserve">выгодоприобретателем или </w:t>
      </w:r>
      <w:r>
        <w:rPr>
          <w:sz w:val="23"/>
          <w:szCs w:val="23"/>
        </w:rPr>
        <w:t xml:space="preserve">поручителем</w:t>
      </w:r>
      <w:r>
        <w:rPr>
          <w:sz w:val="23"/>
          <w:szCs w:val="23"/>
        </w:rPr>
        <w:t xml:space="preserve"> по которому является субъект персональных данных. Обрабатываемые персональные данные подлежат уничтожению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  <w:r>
        <w:rPr>
          <w:sz w:val="23"/>
          <w:szCs w:val="23"/>
        </w:rPr>
      </w:r>
    </w:p>
    <w:p>
      <w:pPr>
        <w:pStyle w:val="650"/>
        <w:contextualSpacing w:val="0"/>
        <w:ind w:left="929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УСЛОВИЯ И </w:t>
      </w:r>
      <w:r>
        <w:rPr>
          <w:sz w:val="23"/>
          <w:szCs w:val="23"/>
        </w:rPr>
        <w:t xml:space="preserve">ПОРЯДОК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ОБРАБОТКИ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Условия обработки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осуществляется</w:t>
      </w:r>
      <w:r>
        <w:rPr>
          <w:sz w:val="23"/>
          <w:szCs w:val="23"/>
        </w:rPr>
        <w:t xml:space="preserve">:</w:t>
      </w:r>
      <w:r>
        <w:rPr>
          <w:sz w:val="23"/>
          <w:szCs w:val="23"/>
        </w:rPr>
      </w:r>
    </w:p>
    <w:p>
      <w:pPr>
        <w:pStyle w:val="650"/>
        <w:numPr>
          <w:ilvl w:val="3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с согласия субъекта персональных данных на обработку его персональных данных;</w:t>
      </w:r>
      <w:r>
        <w:rPr>
          <w:sz w:val="23"/>
          <w:szCs w:val="23"/>
        </w:rPr>
      </w:r>
    </w:p>
    <w:p>
      <w:pPr>
        <w:pStyle w:val="650"/>
        <w:numPr>
          <w:ilvl w:val="3"/>
          <w:numId w:val="2"/>
        </w:numPr>
        <w:contextualSpacing w:val="0"/>
        <w:ind w:left="646" w:hanging="646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для исполнения договора, стороной которого либо выгодоприобретателем или </w:t>
      </w:r>
      <w:r>
        <w:rPr>
          <w:sz w:val="23"/>
          <w:szCs w:val="23"/>
        </w:rPr>
        <w:t xml:space="preserve">поручителем</w:t>
      </w:r>
      <w:r>
        <w:rPr>
          <w:sz w:val="23"/>
          <w:szCs w:val="23"/>
        </w:rPr>
        <w:t xml:space="preserve"> по которому является субъект персональных данных</w:t>
      </w:r>
      <w:r>
        <w:rPr>
          <w:sz w:val="23"/>
          <w:szCs w:val="23"/>
        </w:rPr>
        <w:t xml:space="preserve">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Порядок обработки персональных данных: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осуществляет </w:t>
      </w:r>
      <w:r>
        <w:rPr>
          <w:sz w:val="23"/>
          <w:szCs w:val="23"/>
        </w:rPr>
        <w:t xml:space="preserve">как </w:t>
      </w:r>
      <w:r>
        <w:rPr>
          <w:sz w:val="23"/>
          <w:szCs w:val="23"/>
        </w:rPr>
        <w:t xml:space="preserve">автоматизированную</w:t>
      </w:r>
      <w:r>
        <w:rPr>
          <w:sz w:val="23"/>
          <w:szCs w:val="23"/>
        </w:rPr>
        <w:t xml:space="preserve">, так и неавтоматизированную</w:t>
      </w:r>
      <w:r>
        <w:rPr>
          <w:sz w:val="23"/>
          <w:szCs w:val="23"/>
        </w:rPr>
        <w:t xml:space="preserve"> обработку персональных данных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к обработке персональных данных допускаются лица, ознакомленные с положениями законодат</w:t>
      </w:r>
      <w:r>
        <w:rPr>
          <w:sz w:val="23"/>
          <w:szCs w:val="23"/>
        </w:rPr>
        <w:t xml:space="preserve">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персональных данных органам дознания и следствия, в Федеральную налоговую службу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трансграничная передача персональных данных Оператором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не осуществляется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</w:t>
      </w:r>
      <w:bookmarkStart w:id="0" w:name="_Hlk198939570"/>
      <w:r>
        <w:rPr>
          <w:sz w:val="23"/>
          <w:szCs w:val="23"/>
        </w:rPr>
        <w:t xml:space="preserve">биометрических персональных данных Оператором</w:t>
      </w:r>
      <w:r>
        <w:rPr>
          <w:sz w:val="23"/>
          <w:szCs w:val="23"/>
        </w:rPr>
        <w:t xml:space="preserve"> </w:t>
      </w:r>
      <w:bookmarkEnd w:id="0"/>
      <w:r>
        <w:rPr>
          <w:sz w:val="23"/>
          <w:szCs w:val="23"/>
        </w:rPr>
        <w:t xml:space="preserve">не осуществляется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ЦЕ</w:t>
      </w:r>
      <w:r>
        <w:rPr>
          <w:sz w:val="23"/>
          <w:szCs w:val="23"/>
        </w:rPr>
        <w:t xml:space="preserve">ЛИ ОБРАБОТКИ, КАТЕГОРИИ СУБЪЕКТОВ ПЕРСОНАЛЬНЫХ ДАННЫХ, КАТЕГОРИИ И ПЕРЕЧЕНЬ ОБРАБАТЫВАЕМЫХ ПЕРСОНАЛЬНЫХ ДАННЫХ, СПОСОБЫ, СРОКИ ИХ ОБРАБОТКИ И ХРАНЕНИЯ, ПОРЯДОК УНИЧТОЖЕНИЯ ПЕРСОНАЛЬНЫХ ДАННЫХ ПРИ ДОСТИЖЕНИИ ЦЕЛЕЙ ИЛИ ПРИ НАСТУПЛЕНИИ ИНЫХ ЗАКОННЫХ ОСНОВАНИЙ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tbl>
      <w:tblPr>
        <w:tblStyle w:val="664"/>
        <w:tblW w:w="5000" w:type="pct"/>
        <w:tblLook w:val="04A0" w:firstRow="1" w:lastRow="0" w:firstColumn="1" w:lastColumn="0" w:noHBand="0" w:noVBand="1"/>
      </w:tblPr>
      <w:tblGrid>
        <w:gridCol w:w="1692"/>
        <w:gridCol w:w="1736"/>
        <w:gridCol w:w="1766"/>
        <w:gridCol w:w="2212"/>
        <w:gridCol w:w="1939"/>
      </w:tblGrid>
      <w:tr>
        <w:tblPrEx/>
        <w:trPr/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Категории субъектов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Цель обработки данных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/>
            <w:bookmarkStart w:id="1" w:name="_Hlk198941033"/>
            <w:r>
              <w:rPr>
                <w:b/>
                <w:sz w:val="20"/>
                <w:szCs w:val="20"/>
              </w:rPr>
              <w:t xml:space="preserve">Категории и перечень обрабатываемых данных</w:t>
            </w:r>
            <w:r>
              <w:rPr>
                <w:b/>
                <w:sz w:val="20"/>
                <w:szCs w:val="20"/>
              </w:rPr>
              <w:t xml:space="preserve"> </w:t>
            </w:r>
            <w:bookmarkEnd w:id="1"/>
            <w:r/>
            <w:r>
              <w:rPr>
                <w:b/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Способы обработки данных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Сроки хранения и п</w:t>
            </w:r>
            <w:r>
              <w:rPr>
                <w:b/>
                <w:sz w:val="20"/>
                <w:szCs w:val="20"/>
              </w:rPr>
              <w:t xml:space="preserve">орядок уничтожения данных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6579"/>
        </w:trPr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Посетители сайта</w:t>
            </w:r>
            <w:r>
              <w:rPr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Получение обратной связи от оператора: обработка входящих запросов, заявок на консультации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Фамилия, имя, отчество</w:t>
            </w:r>
            <w:r>
              <w:rPr>
                <w:color w:val="000000"/>
                <w:sz w:val="20"/>
                <w:szCs w:val="20"/>
              </w:rPr>
              <w:t xml:space="preserve">; адрес электронной почты; номер телефона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Смешанная (автоматизированная и неавтоматизированная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968" w:type="pct"/>
            <w:textDirection w:val="lrTb"/>
            <w:noWrap w:val="false"/>
          </w:tcPr>
          <w:sdt>
            <w:sdtPr>
              <w15:appearance w15:val="boundingBox"/>
              <w:id w:val="1044488433"/>
              <w:placeholder>
                <w:docPart w:val="E347E8B907574FFE841BFF65BFCB2DDE"/>
              </w:placeholder>
              <w:rPr>
                <w:sz w:val="20"/>
                <w:szCs w:val="20"/>
              </w:rPr>
            </w:sdtPr>
            <w:sdtContent>
              <w:p>
                <w:pPr>
                  <w:contextualSpacing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2</w:t>
                </w:r>
                <w:r>
                  <w:rPr>
                    <w:color w:val="000000"/>
                    <w:sz w:val="20"/>
                    <w:szCs w:val="20"/>
                  </w:rPr>
                  <w:t xml:space="preserve">. Посетители сайта</w:t>
                </w:r>
                <w:r>
                  <w:rPr>
                    <w:sz w:val="20"/>
                    <w:szCs w:val="20"/>
                  </w:rPr>
                </w:r>
              </w:p>
            </w:sdtContent>
          </w:sdt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0"/>
                <w:szCs w:val="20"/>
              </w:rPr>
              <w:t xml:space="preserve">ретаргетинга</w:t>
            </w:r>
            <w:r>
              <w:rPr>
                <w:color w:val="000000"/>
                <w:sz w:val="20"/>
                <w:szCs w:val="20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Сведения, собираемые посредством метрических программ</w:t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Автоматизированная обработка: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Лица, подписавшиеся на рекламную рассылку</w:t>
            </w:r>
            <w:r>
              <w:rPr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Продвижение товаров, работ, услуг на рынке: направление рекламных сообщений, информирование о продуктах, услугах, новостях, акциях и предложениях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имя; адрес электронной почты; номер телефона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Смешанная (автоматизированная и неавтоматизированная:</w:t>
            </w:r>
            <w:r>
              <w:rPr>
                <w:sz w:val="20"/>
                <w:szCs w:val="20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Посетители сайта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Получение обратной связи от оператора: предоставление информационных материалов.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Фамилия, имя, отчество</w:t>
            </w:r>
            <w:r>
              <w:rPr>
                <w:color w:val="000000"/>
                <w:sz w:val="20"/>
                <w:szCs w:val="20"/>
              </w:rPr>
              <w:t xml:space="preserve">; адрес электронной почты; номер телефона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Смешанная (автоматизированная и неавтоматизированная:</w:t>
            </w:r>
            <w:r>
              <w:rPr>
                <w:sz w:val="20"/>
                <w:szCs w:val="20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0"/>
        <w:contextualSpacing w:val="0"/>
        <w:ind w:left="929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МЕРЫ, ПРИНИМАЕМЫЕ ОПЕРАТОРОМ ДЛЯ ОБЕСПЕЧЕНИЯ БЕЗОПАСНОСТИ ПЕРСОНАЛЬНЫХ ДАННЫХ, ОЦЕНКА ВРЕДА, КОТОРЫЙ МОЖЕТ БЫТЬ ПРИЧИНЕН СУБЪЕКТАМ ПЕРСОНАЛЬНЫХ ДАННЫХ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Меры, необходимые для обеспечения безопасности обрабатываемых оператором персональных данных, включают: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</w:t>
      </w:r>
      <w:r>
        <w:rPr>
          <w:color w:val="000000"/>
          <w:sz w:val="23"/>
          <w:szCs w:val="23"/>
        </w:rPr>
        <w:t xml:space="preserve">ринятие политики в отношении обработки персональных данных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локальных нормативных актов и иных документов в области обработки и защиты персональных данных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получение согласий субъектов персональных данных на обработку их персональных данных, за исключением случаев, предусмотренных законодательством Российской Федерации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Оценка вреда, который может быть причинен</w:t>
      </w:r>
      <w:r>
        <w:rPr>
          <w:sz w:val="23"/>
          <w:szCs w:val="23"/>
        </w:rPr>
        <w:t xml:space="preserve"> субъектам персональных данных в случае нарушения Оператором требований Закона о персональных данных, определяется в соответствии с Приказом Федеральной службы по надзору в сфере связи, информационных технологий и массовых коммуникаций от 27.10.2022 № 178.</w:t>
      </w:r>
      <w:r>
        <w:rPr>
          <w:sz w:val="23"/>
          <w:szCs w:val="23"/>
        </w:rPr>
      </w:r>
    </w:p>
    <w:p>
      <w:pPr>
        <w:pStyle w:val="650"/>
        <w:contextualSpacing w:val="0"/>
        <w:ind w:left="432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ОСНОВНЫЕ ПРАВА СУБЪЕКТОВ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Субъекты персональных данных имеют право: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полную информацию об их персональных данных, обрабатываемых Оператором;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доступ к своим персональным данным, включая право на получение копии любой записи, содержащей их персональные данные, за исключением случаев, предусмотренных законодательством Российской Федерации;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уточнение своих персональных данных, их блокирование или уничтожение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отзыв согласия на обработку персональных данных;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осуществление иных прав, предусмотренных законодательством Российской Федерации.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Сведения предоставля</w:t>
      </w:r>
      <w:r>
        <w:rPr>
          <w:sz w:val="24"/>
          <w:szCs w:val="24"/>
        </w:rPr>
        <w:t xml:space="preserve">ются субъекту персональных данных Оператором в доступной форме,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  <w:r>
        <w:rPr>
          <w:sz w:val="24"/>
          <w:szCs w:val="24"/>
        </w:rPr>
      </w:r>
    </w:p>
    <w:p>
      <w:pPr>
        <w:pStyle w:val="650"/>
        <w:contextualSpacing w:val="0"/>
        <w:ind w:left="36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ОСНОВНЫЕ ПРАВА И </w:t>
      </w:r>
      <w:r>
        <w:rPr>
          <w:sz w:val="23"/>
          <w:szCs w:val="23"/>
        </w:rPr>
        <w:t xml:space="preserve">ОБЯЗАННОСТИ ОПЕРАТОРА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имеет следующие права: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 на определение мер защиты 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вправе самостоятельно устанавливать состав и перечень необходимых мер для выполнения обязанностей, предусмотренных требованиями Закона о персональных данных и принятых в соответствии с ним нормативных актов.</w:t>
      </w:r>
      <w:r>
        <w:rPr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Исключение: если иное прямо не предусмотрено законом.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 на поручение обработки данных третьим лицам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может передать обработку персональных данных другому лицу при соблюдении принципов и правил обработки персональных данных, предусмотренных Законом о персональных данных, а также при соблюдении следующих условий: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наличие согласия субъекта персональных данных (если иное не установлено федеральным законом);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812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основании заключаемого с этим лицом договора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 на продолжение обработки после отзыва согласия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Если субъект отзывает согласие на обработку, Оператор может продолжить обработку без его согласия в случаях, прямо предусмотренных Законом о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имеет следующие обязанности: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Блокирование при выявлении неправомерной обработки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обнаружении неправомерной обработки данных (по обращению субъекта, его представителя или уполномоченного органа):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обязан заблокировать неправомерно обраба</w:t>
      </w:r>
      <w:r>
        <w:rPr>
          <w:sz w:val="24"/>
          <w:szCs w:val="24"/>
        </w:rPr>
        <w:t xml:space="preserve">тываемые данные соответствующие данные, относящихся к этому субъекту персональных данных (или обеспечить их блокирование, если обработка ведется других лицом, действующим по поручению оператора) с момента обращения или получения запроса на период проверки.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5" w:hanging="505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Блокирование неточных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680" w:firstLine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выявлении неточностей в данных (по обращению субъекта, его представителя или уполномоченного органа):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обязан заблокировать данные, относящихся к этому субъекту персональных данных (или обеспечить их блокирование, если обработка ведется других лицом, действующим по поручению оператора) с момента обращения или получения запроса на период проверки.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Данные блокируются, если такое блокирование персональных данных не нарушает права и законные интересы субъекта персональных данных или третьих лиц.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ind w:left="845" w:hanging="505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Уточнение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подтверждения факта неточности персональных данных (по обращению субъекта, его представителя или уполномоченного органа):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815" w:hanging="79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обязан уточнить </w:t>
      </w:r>
      <w:r>
        <w:rPr>
          <w:sz w:val="24"/>
          <w:szCs w:val="24"/>
        </w:rPr>
        <w:t xml:space="preserve">персональные данные (либо обеспечить их уточнение, если обработка персональных данных осуществляется другим лицом, действующим по поручению оператора) в течение семи рабочих дней со дня представления таких сведений и снять блокирование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hanging="505"/>
        <w:jc w:val="both"/>
        <w:spacing w:after="12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неправомерной обработки</w:t>
      </w:r>
      <w:r>
        <w:rPr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выявления неправомерной обработки (по обращению субъекта, его представителя или уполномоченного органа)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(или обеспечить прекращение)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в течение 3 рабочих дней с даты выявления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Если обеспечить правомерность обработки невозможно, то уничтожить данные – в течение 10 рабочих дней с даты выявления;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Уведомить субъекта (его представителя или уполномоченного органа) о принятых мерах (об устранении нарушений или об уничтожении персональных данных).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Действия при утечке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установления факта неправомерной или случайной передачи (предоставления, распространения, доступа) персональных данных (по обращению субъекта, его представителя или уполномоченного </w:t>
      </w:r>
      <w:r>
        <w:rPr>
          <w:sz w:val="24"/>
          <w:szCs w:val="24"/>
        </w:rPr>
        <w:t xml:space="preserve">органа)  оператор</w:t>
      </w:r>
      <w:r>
        <w:rPr>
          <w:sz w:val="24"/>
          <w:szCs w:val="24"/>
        </w:rPr>
        <w:t xml:space="preserve">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Уведомить уполномоченный орган – в течение двадцати четырех часов о произошедшем инциденте с момента выявления, предоставив сведения: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произошедшем инциденте, о предполагаемых причинах и предполагаемом вреде, нанесенном правам субъектов персональ</w:t>
      </w:r>
      <w:r>
        <w:rPr>
          <w:sz w:val="24"/>
          <w:szCs w:val="24"/>
        </w:rPr>
        <w:t xml:space="preserve">ных данных, о принятых мерах по устранению последствий, а также предоставить сведения о лице, уполномоченном оператором на взаимодействие с уполномоченным органом по защите прав субъектов персональных данных, по вопросам, связанным с выявленным инцидентом;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Предоставить результаты внутреннего расследования инцидента и сведения о лицах, действия которых стали причиной выявленного инцидента – в течение семидесяти двух часов с момента выявления.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обработки по достижению цели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достижения цели обработки персональных данных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персональных данных (или обеспечить ее прекращение, если обработка персональных данных осуществляется другим лицом, действующим по поручению оператора);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Уничтожить персональные данные (или обеспечить их уничтожение, если обработка персональных данных осуществляется другим лицом, действующим по поручению оператора) 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Срок для уничтожения после достижения цели обработки составляет тридцать дней с даты достижения, если иное предусмотрено договором или законом.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Действия при отзыве согласия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отзыва субъектом персональных данных согласия на обработку его персональных данных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(или обеспечить прекращение такой обработки, если обработка персональных данных осуществляется другим лицом, действующим по поручению оператора);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Уничтожить (или обеспечить их уничтожение, если обработка персональных данных осуществляется другим лицом, действующим по поручению оператора)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в случае, если их хранение больше не требуется.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Срок для совершения действий в случае отзыва субъектом персональных данных согласия составляет тридцать дней с момента поступления указанного отзыва, если иное предусмотрено договором или законом.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обработки по требованию субъекта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обращения субъекта персональных данных (или его представителя) к оператору с требованием о прекращении обработки персональных данных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(или обеспечить прекращение так</w:t>
      </w:r>
      <w:r>
        <w:rPr>
          <w:sz w:val="24"/>
          <w:szCs w:val="24"/>
        </w:rPr>
        <w:t xml:space="preserve">ой обработки, если такая обработка осуществляется лицом, осуществляющим обработку персональных данных) – в течение десяти рабочих дней с даты получения оператором требования, за исключением случаев, предусмотренных Законом об обработке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Блокирование при невозможности уничтожения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отсутствия возможности уничтожения персональных данных в течение сроков, указанных в пунктах 8.2.4. – 8.2.8,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Заблокировать такие персональные данные (или обесп</w:t>
      </w:r>
      <w:r>
        <w:rPr>
          <w:sz w:val="24"/>
          <w:szCs w:val="24"/>
        </w:rPr>
        <w:t xml:space="preserve">ечивает их блокирование, если обработка персональных данных осуществляется другим лицом, действующим по поручению оператора) и обеспечить уничтожение персональных данных в срок не более чем шесть месяцев, если иной срок не установлен федеральными законами.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Уничтожение персональных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Уничтожение персональных данных подтверждается актом.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Уничтожение бумажных носителей, содержащих персональные данные, подтверждается актом и осуществляется путем измельчения бумаг с использованием шредера.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Уничтожение данных, хранящихся с использованием средств автоматизации (в том числе в информационных системах) подтверждается актом об уничтожении персональных данных и выгрузкой из журнала регистрации событий в информационной системе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Подтверждение уничтожения персональных данных в случаях, предусмотренных в настоящем разделе, осуществляется в соответствии с Приказом Роскомнадзора от 28.10.2022 №179.</w:t>
      </w:r>
      <w:r>
        <w:rPr>
          <w:sz w:val="24"/>
          <w:szCs w:val="24"/>
        </w:rPr>
      </w:r>
    </w:p>
    <w:p>
      <w:pPr>
        <w:pStyle w:val="650"/>
        <w:contextualSpacing w:val="0"/>
        <w:ind w:left="432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ФАЙЛЫ КУКИ И МЕТРИЧЕСКИЕ ПРОГРАММЫ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color w:val="1a1a1a"/>
          <w:sz w:val="24"/>
          <w:szCs w:val="24"/>
        </w:rPr>
        <w:t xml:space="preserve">На сайте </w:t>
      </w:r>
      <w:r>
        <w:rPr>
          <w:color w:val="auto"/>
          <w:sz w:val="24"/>
          <w:szCs w:val="24"/>
        </w:rPr>
        <w:t xml:space="preserve">собираются файлы </w:t>
      </w:r>
      <w:r>
        <w:rPr>
          <w:color w:val="auto"/>
          <w:sz w:val="24"/>
          <w:szCs w:val="24"/>
        </w:rPr>
        <w:t xml:space="preserve">cookie</w:t>
      </w:r>
      <w:r>
        <w:rPr>
          <w:color w:val="auto"/>
          <w:sz w:val="24"/>
          <w:szCs w:val="24"/>
        </w:rPr>
        <w:t xml:space="preserve"> в целях функционирования сайта (технические </w:t>
      </w:r>
      <w:r>
        <w:rPr>
          <w:color w:val="auto"/>
          <w:sz w:val="24"/>
          <w:szCs w:val="24"/>
        </w:rPr>
        <w:t xml:space="preserve">cookie</w:t>
      </w:r>
      <w:r>
        <w:rPr>
          <w:color w:val="auto"/>
          <w:sz w:val="24"/>
          <w:szCs w:val="24"/>
        </w:rPr>
        <w:t xml:space="preserve">-файлы), проведения </w:t>
      </w:r>
      <w:r>
        <w:rPr>
          <w:color w:val="auto"/>
          <w:sz w:val="24"/>
          <w:szCs w:val="24"/>
        </w:rPr>
        <w:t xml:space="preserve">ретаргетинга</w:t>
      </w:r>
      <w:r>
        <w:rPr>
          <w:color w:val="auto"/>
          <w:sz w:val="24"/>
          <w:szCs w:val="24"/>
        </w:rPr>
        <w:t xml:space="preserve"> и проведения статистических исследований и обзоров (аналитические, маркетинговые и рекламные </w:t>
      </w:r>
      <w:r>
        <w:rPr>
          <w:color w:val="auto"/>
          <w:sz w:val="24"/>
          <w:szCs w:val="24"/>
        </w:rPr>
        <w:t xml:space="preserve">cookie</w:t>
      </w:r>
      <w:r>
        <w:rPr>
          <w:color w:val="auto"/>
          <w:sz w:val="24"/>
          <w:szCs w:val="24"/>
        </w:rPr>
        <w:t xml:space="preserve">-файлы) с использованием метрических программ (сервис </w:t>
      </w:r>
      <w:r>
        <w:rPr>
          <w:color w:val="auto"/>
          <w:sz w:val="24"/>
          <w:szCs w:val="24"/>
        </w:rPr>
        <w:t xml:space="preserve">Yandex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Metrika</w:t>
      </w:r>
      <w:r>
        <w:rPr>
          <w:color w:val="auto"/>
          <w:sz w:val="24"/>
          <w:szCs w:val="24"/>
        </w:rPr>
        <w:t xml:space="preserve">, </w:t>
      </w:r>
      <w:r>
        <w:rPr>
          <w:rStyle w:val="668"/>
          <w:b w:val="0"/>
          <w:bCs w:val="0"/>
          <w:color w:val="auto"/>
          <w:sz w:val="24"/>
          <w:szCs w:val="24"/>
          <w:shd w:val="clear" w:color="auto" w:fill="ffffff"/>
        </w:rPr>
        <w:t xml:space="preserve">Roistat</w:t>
      </w:r>
      <w:r>
        <w:rPr>
          <w:color w:val="auto"/>
          <w:sz w:val="24"/>
          <w:szCs w:val="24"/>
          <w:shd w:val="clear" w:color="auto" w:fill="ffffff"/>
        </w:rPr>
        <w:t xml:space="preserve">, </w:t>
      </w:r>
      <w:r>
        <w:rPr>
          <w:color w:val="auto"/>
          <w:sz w:val="24"/>
          <w:szCs w:val="24"/>
          <w:shd w:val="clear" w:color="auto" w:fill="ffffff"/>
        </w:rPr>
        <w:t xml:space="preserve">Сalltouch</w:t>
      </w:r>
      <w:r>
        <w:rPr>
          <w:color w:val="auto"/>
          <w:sz w:val="24"/>
          <w:szCs w:val="24"/>
        </w:rPr>
        <w:t xml:space="preserve">), иных сервисов</w:t>
      </w:r>
      <w:r>
        <w:rPr>
          <w:color w:val="auto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Cookies</w:t>
      </w:r>
      <w:r>
        <w:rPr>
          <w:sz w:val="24"/>
          <w:szCs w:val="24"/>
        </w:rPr>
        <w:t xml:space="preserve"> — это небольшие текстовые файлы, которые сайты сохраняют на вашем компьютере или смартфоне через браузер. Они позволяют веб-сайтам хранить информацию, такую как пользовательские предпочтения, данные о посещении,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пользовательских настройках, а также в целях автоматической авторизации Пользователя на сайте и др. 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Продолжая использовать Сайт, Пользователь дает согласие на обработку файлов </w:t>
      </w:r>
      <w:r>
        <w:rPr>
          <w:sz w:val="24"/>
          <w:szCs w:val="24"/>
        </w:rPr>
        <w:t xml:space="preserve">cookie</w:t>
      </w:r>
      <w:r>
        <w:rPr>
          <w:sz w:val="24"/>
          <w:szCs w:val="24"/>
        </w:rPr>
        <w:t xml:space="preserve">, пользовательских данных, в том числе: </w:t>
      </w:r>
      <w:r>
        <w:rPr>
          <w:color w:val="000000"/>
          <w:sz w:val="24"/>
          <w:szCs w:val="24"/>
        </w:rPr>
        <w:t xml:space="preserve">ведения о местоположении</w:t>
      </w:r>
      <w:r>
        <w:rPr>
          <w:color w:val="000000"/>
          <w:sz w:val="24"/>
          <w:szCs w:val="24"/>
        </w:rPr>
        <w:t xml:space="preserve">;  тип и версия ОС; тип и версия Браузера; тип устройства и разрешение его экрана; источник; откуда пришел на сайт пользователь; с какого сайта или по какой рекламе; язык ОС и Браузера; информация о страницах, которые открывает пользователь; IP-адрес и др.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случае, если пользователь не согласен на обработку этих данных, Пользователю необходимо изменить настройки браузера или покинуть сайт. 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удалении или запрете (отключении) установки некоторых или всех файлов </w:t>
      </w:r>
      <w:r>
        <w:rPr>
          <w:sz w:val="24"/>
          <w:szCs w:val="24"/>
        </w:rPr>
        <w:t xml:space="preserve">cookie</w:t>
      </w:r>
      <w:r>
        <w:rPr>
          <w:sz w:val="24"/>
          <w:szCs w:val="24"/>
        </w:rPr>
        <w:t xml:space="preserve"> некоторые функции сайта могут стать недоступными, включая авторизацию и сохранение персональных настроек.</w:t>
      </w:r>
      <w:r>
        <w:rPr>
          <w:sz w:val="24"/>
          <w:szCs w:val="24"/>
        </w:rPr>
      </w:r>
    </w:p>
    <w:p>
      <w:pPr>
        <w:jc w:val="both"/>
        <w:spacing w:after="120" w:line="240" w:lineRule="auto"/>
        <w:rPr>
          <w:rFonts w:eastAsia="Times New Roman"/>
          <w:sz w:val="23"/>
          <w:szCs w:val="23"/>
          <w:lang w:eastAsia="ru-RU"/>
        </w:rPr>
      </w:pPr>
      <w:r>
        <w:rPr>
          <w:rFonts w:eastAsia="Times New Roman"/>
          <w:sz w:val="23"/>
          <w:szCs w:val="23"/>
          <w:lang w:eastAsia="ru-RU"/>
        </w:rPr>
      </w:r>
      <w:r>
        <w:rPr>
          <w:rFonts w:eastAsia="Times New Roman"/>
          <w:sz w:val="23"/>
          <w:szCs w:val="23"/>
          <w:lang w:eastAsia="ru-RU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ПЕРСОНАЛЬНЫХ ДАННЫХ ТРЕТЬИМ ЛИЦАМ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</w:t>
      </w:r>
      <w:r>
        <w:rPr>
          <w:sz w:val="23"/>
          <w:szCs w:val="23"/>
        </w:rPr>
        <w:t xml:space="preserve">вправе привлекать третьих лиц к обработке персональных данных путем поручения третьим лицам обработки и/или передачи персональных данных третьим лицам без поручения обработки персональных данных в целях: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Заключение и исполнение договора (сторонние юристы, специалисты, эксперты и т.д.)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/>
      <w:sdt>
        <w:sdtPr>
          <w15:appearance w15:val="boundingBox"/>
          <w:id w:val="-376782867"/>
          <w:placeholder>
            <w:docPart w:val="6B1420B1A43E43A19B0DFACF16C867B2"/>
          </w:placeholder>
          <w:rPr>
            <w:rFonts w:eastAsia="Times New Roman"/>
            <w:color w:val="000000"/>
            <w:sz w:val="23"/>
            <w:szCs w:val="23"/>
            <w:lang w:eastAsia="ru-RU"/>
          </w:rPr>
        </w:sdtPr>
        <w:sdtContent>
          <w:r>
            <w:rPr>
              <w:color w:val="000000"/>
              <w:sz w:val="23"/>
              <w:szCs w:val="23"/>
            </w:rPr>
            <w:t xml:space="preserve">Первоначальной обработки обращений, заявок, звонков Пользователей с помощью функционала сайта</w:t>
          </w:r>
        </w:sdtContent>
      </w:sdt>
      <w:r/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персональных данных Оператором третьим лицам должна осуществляться при наличии согласий субъектов персональных</w:t>
      </w:r>
      <w:r>
        <w:rPr>
          <w:sz w:val="23"/>
          <w:szCs w:val="23"/>
        </w:rPr>
        <w:t xml:space="preserve"> данных или в иных случаях, регламентированных действующим законодательством Российской Федерации.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Перечень третьих лиц, которым Оператор может поручать обработку и/или передавать персональные данные субъекта персональных данных:</w:t>
      </w:r>
      <w:r>
        <w:rPr>
          <w:sz w:val="23"/>
          <w:szCs w:val="23"/>
        </w:rPr>
      </w:r>
    </w:p>
    <w:tbl>
      <w:tblPr>
        <w:tblStyle w:val="664"/>
        <w:tblW w:w="5000" w:type="pct"/>
        <w:tblLook w:val="04A0" w:firstRow="1" w:lastRow="0" w:firstColumn="1" w:lastColumn="0" w:noHBand="0" w:noVBand="1"/>
      </w:tblPr>
      <w:tblGrid>
        <w:gridCol w:w="2340"/>
        <w:gridCol w:w="2336"/>
        <w:gridCol w:w="2336"/>
        <w:gridCol w:w="2333"/>
      </w:tblGrid>
      <w:tr>
        <w:tblPrEx/>
        <w:trPr/>
        <w:tc>
          <w:tcPr>
            <w:tcW w:w="1252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Цели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передаваемых персональных данных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1252" w:type="pct"/>
            <w:textDirection w:val="lrTb"/>
            <w:noWrap w:val="false"/>
          </w:tcPr>
          <w:p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Получение обратной связи от оператора: обработка входящих запросов, заявок на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консультации, предоставление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информационных материалов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12529"/>
                <w:sz w:val="22"/>
                <w:szCs w:val="22"/>
                <w:shd w:val="clear" w:color="auto" w:fill="ffffff"/>
              </w:rPr>
              <w:t xml:space="preserve">ООО «1С-Битрикс»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109544, г.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осква, б-р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Э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нтузиастов, д. 2, этаж 13, помещения 8-19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Фамилия,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отчество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адрес электронной почты; номер телефона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  <w:p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</w:tr>
      <w:tr>
        <w:tblPrEx/>
        <w:trPr>
          <w:trHeight w:val="96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</w:t>
            </w:r>
            <w:r>
              <w:rPr>
                <w:sz w:val="22"/>
                <w:szCs w:val="22"/>
              </w:rPr>
              <w:t xml:space="preserve">БИЗНЕС-АНАЛИТИКА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109004, г.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 xml:space="preserve">осква, </w:t>
            </w:r>
            <w:r>
              <w:rPr>
                <w:sz w:val="22"/>
                <w:szCs w:val="22"/>
              </w:rPr>
              <w:t xml:space="preserve">вн.тер.г</w:t>
            </w:r>
            <w:r>
              <w:rPr>
                <w:sz w:val="22"/>
                <w:szCs w:val="22"/>
              </w:rPr>
              <w:t xml:space="preserve">. муниципальный округ таганский, ул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лександра 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олженицына, д. 23а, стр. 1, </w:t>
            </w:r>
            <w:r>
              <w:rPr>
                <w:sz w:val="22"/>
                <w:szCs w:val="22"/>
              </w:rPr>
              <w:t xml:space="preserve">помещ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 xml:space="preserve">III</w:t>
            </w:r>
            <w:r>
              <w:rPr>
                <w:sz w:val="22"/>
                <w:szCs w:val="22"/>
              </w:rPr>
              <w:t xml:space="preserve">, ком. 1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ООО «Яндекс» (сервис </w:t>
            </w:r>
            <w:r>
              <w:rPr>
                <w:color w:val="000000"/>
                <w:sz w:val="22"/>
                <w:szCs w:val="22"/>
              </w:rPr>
              <w:t xml:space="preserve">Yandex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Metrika</w:t>
            </w:r>
            <w:r>
              <w:rPr>
                <w:color w:val="000000"/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119021, г. Москва, ул. Льва Толстого, д. 16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</w:t>
            </w:r>
            <w:r>
              <w:rPr>
                <w:sz w:val="22"/>
                <w:szCs w:val="22"/>
              </w:rPr>
              <w:t xml:space="preserve">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 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</w:t>
            </w:r>
            <w:r>
              <w:rPr>
                <w:sz w:val="22"/>
                <w:szCs w:val="22"/>
              </w:rPr>
              <w:t xml:space="preserve">КОЛТАЧ СОЛЮШНС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127018, г. Москва, </w:t>
            </w:r>
            <w:r>
              <w:rPr>
                <w:sz w:val="22"/>
                <w:szCs w:val="22"/>
              </w:rPr>
              <w:t xml:space="preserve">вн.тер.г</w:t>
            </w:r>
            <w:r>
              <w:rPr>
                <w:sz w:val="22"/>
                <w:szCs w:val="22"/>
              </w:rPr>
              <w:t xml:space="preserve">. муниципальный округ Бутырский, ул. Складочная, д. 1, стр. 9, </w:t>
            </w:r>
            <w:r>
              <w:rPr>
                <w:sz w:val="22"/>
                <w:szCs w:val="22"/>
              </w:rPr>
              <w:t xml:space="preserve">помещ</w:t>
            </w:r>
            <w:r>
              <w:rPr>
                <w:sz w:val="22"/>
                <w:szCs w:val="22"/>
              </w:rPr>
              <w:t xml:space="preserve">. 3/1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pacing w:val="3"/>
                <w:sz w:val="22"/>
                <w:szCs w:val="22"/>
                <w:shd w:val="clear" w:color="auto" w:fill="ffffff"/>
              </w:rPr>
            </w:pPr>
            <w:r>
              <w:t xml:space="preserve">АО ИАИТ "РУНЕТ ХОЛДИНГ"</w:t>
            </w:r>
            <w:r>
              <w:rPr>
                <w:spacing w:val="3"/>
                <w:sz w:val="22"/>
                <w:szCs w:val="22"/>
                <w:shd w:val="clear" w:color="auto" w:fill="ffffff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127473,</w:t>
            </w:r>
            <w:r>
              <w:rPr>
                <w:sz w:val="22"/>
                <w:szCs w:val="22"/>
              </w:rPr>
              <w:t xml:space="preserve"> г. Москва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Суворовская площадь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. 1/52, 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. 2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Получение обратной связи от оператора: обработка входящих запросов, заявок на консультации, предоставление информационных материалов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"МАРКВИЗ"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115569, г. Москва, ул. Домодедовская, д. 4, помещение 19П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Фамилия,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отчество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адрес электронной почты; номер телефона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650"/>
        <w:numPr>
          <w:ilvl w:val="1"/>
          <w:numId w:val="2"/>
        </w:numPr>
        <w:contextualSpacing w:val="0"/>
        <w:ind w:left="431" w:hanging="431"/>
        <w:jc w:val="both"/>
        <w:spacing w:before="120"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вправе вносить изменения в указанный перечень третьих лиц без дополнительного уведомления Пользователей.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ind w:left="431" w:hanging="431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Оператором персональных данных третьим лицам может осуществляться тол</w:t>
      </w:r>
      <w:r>
        <w:rPr>
          <w:sz w:val="23"/>
          <w:szCs w:val="23"/>
        </w:rPr>
        <w:t xml:space="preserve">ько при условии обработки такими лицами персональных данных в минимально необходимом составе, исключительно для достижения предусмотренных целей обработки, а также при условии обеспечения такими лицами конфиденциальности и безопасности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ind w:left="431" w:hanging="431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В случае, если Оператор поручае</w:t>
      </w:r>
      <w:r>
        <w:rPr>
          <w:sz w:val="23"/>
          <w:szCs w:val="23"/>
        </w:rPr>
        <w:t xml:space="preserve">т обработку персональных данных другому лицу, ответственность перед субъектом персональных данных за действия указанного лица несет Оператор. Лицо, осуществляющее обработку персональных данных по поручению оператора, несет ответственность перед Оператором.</w:t>
      </w:r>
      <w:r>
        <w:rPr>
          <w:sz w:val="23"/>
          <w:szCs w:val="23"/>
        </w:rPr>
      </w:r>
    </w:p>
    <w:p>
      <w:pPr>
        <w:contextualSpacing/>
        <w:jc w:val="both"/>
        <w:spacing w:after="0" w:line="240" w:lineRule="auto"/>
        <w:rPr>
          <w:rFonts w:eastAsia="Times New Roman"/>
          <w:sz w:val="23"/>
          <w:szCs w:val="23"/>
          <w:lang w:eastAsia="ru-RU"/>
        </w:rPr>
      </w:pPr>
      <w:r>
        <w:rPr>
          <w:rFonts w:eastAsia="Times New Roman"/>
          <w:sz w:val="23"/>
          <w:szCs w:val="23"/>
          <w:lang w:eastAsia="ru-RU"/>
        </w:rPr>
      </w:r>
      <w:r>
        <w:rPr>
          <w:rFonts w:eastAsia="Times New Roman"/>
          <w:sz w:val="23"/>
          <w:szCs w:val="23"/>
          <w:lang w:eastAsia="ru-RU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ЗАКЛЮЧИТЕЛЬНЫЕ ПОЛОЖЕНИЯ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Согласие на обработку (в том числе распространение) персональных данных может быть отозвано субъектом персональных данных или </w:t>
      </w:r>
      <w:r>
        <w:rPr>
          <w:sz w:val="23"/>
          <w:szCs w:val="23"/>
        </w:rPr>
        <w:t xml:space="preserve">его</w:t>
      </w:r>
      <w:r>
        <w:rPr>
          <w:sz w:val="23"/>
          <w:szCs w:val="23"/>
        </w:rPr>
        <w:t xml:space="preserve"> представител</w:t>
      </w:r>
      <w:r>
        <w:rPr>
          <w:sz w:val="23"/>
          <w:szCs w:val="23"/>
        </w:rPr>
        <w:t xml:space="preserve">ем</w:t>
      </w:r>
      <w:r>
        <w:rPr>
          <w:sz w:val="23"/>
          <w:szCs w:val="23"/>
        </w:rPr>
        <w:t xml:space="preserve"> путем направления заявления Оператору в письменной форме на адрес электронной почты</w:t>
      </w:r>
      <w:r>
        <w:rPr>
          <w:color w:val="auto"/>
          <w:sz w:val="23"/>
          <w:szCs w:val="23"/>
        </w:rPr>
        <w:t xml:space="preserve">: </w:t>
      </w:r>
      <w:r>
        <w:rPr>
          <w:color w:val="auto"/>
          <w:sz w:val="23"/>
          <w:szCs w:val="23"/>
        </w:rPr>
        <w:t xml:space="preserve"> </w:t>
      </w:r>
      <w:hyperlink r:id="rId12" w:tooltip="mailto:info@urvista.ru" w:history="1">
        <w:r>
          <w:rPr>
            <w:rStyle w:val="661"/>
            <w:color w:val="auto"/>
            <w:sz w:val="23"/>
            <w:szCs w:val="23"/>
            <w:u w:val="none"/>
          </w:rPr>
          <w:t xml:space="preserve">info@urvista.ru</w:t>
        </w:r>
      </w:hyperlink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  <w:r>
        <w:rPr>
          <w:sz w:val="23"/>
          <w:szCs w:val="23"/>
        </w:rPr>
        <w:t xml:space="preserve">или п</w:t>
      </w:r>
      <w:r>
        <w:rPr>
          <w:sz w:val="23"/>
          <w:szCs w:val="23"/>
        </w:rPr>
        <w:t xml:space="preserve">о почтовому </w:t>
      </w:r>
      <w:r>
        <w:rPr>
          <w:sz w:val="23"/>
          <w:szCs w:val="23"/>
        </w:rPr>
        <w:t xml:space="preserve">адресу:</w:t>
      </w:r>
      <w:r>
        <w:rPr>
          <w:sz w:val="23"/>
          <w:szCs w:val="23"/>
        </w:rPr>
        <w:t xml:space="preserve"> </w:t>
      </w:r>
      <w:sdt>
        <w:sdtPr>
          <w15:appearance w15:val="boundingBox"/>
          <w:id w:val="617422594"/>
          <w:placeholder>
            <w:docPart w:val="DefaultPlaceholder_-1854013440"/>
          </w:placeholder>
          <w:rPr>
            <w:sz w:val="23"/>
            <w:szCs w:val="23"/>
          </w:rPr>
        </w:sdtPr>
        <w:sdtContent>
          <w:r>
            <w:rPr>
              <w:sz w:val="23"/>
              <w:szCs w:val="23"/>
              <w:shd w:val="clear" w:color="auto" w:fill="ffffff"/>
            </w:rPr>
            <w:t xml:space="preserve">101000, г. Москва, ул. Покровка, д. 3/7, стр. 1б, </w:t>
          </w:r>
          <w:r>
            <w:rPr>
              <w:sz w:val="23"/>
              <w:szCs w:val="23"/>
              <w:shd w:val="clear" w:color="auto" w:fill="ffffff"/>
            </w:rPr>
            <w:t xml:space="preserve">эт</w:t>
          </w:r>
          <w:r>
            <w:rPr>
              <w:sz w:val="23"/>
              <w:szCs w:val="23"/>
              <w:shd w:val="clear" w:color="auto" w:fill="ffffff"/>
            </w:rPr>
            <w:t xml:space="preserve">. 3, пом. </w:t>
          </w:r>
          <w:r>
            <w:rPr>
              <w:sz w:val="23"/>
              <w:szCs w:val="23"/>
              <w:shd w:val="clear" w:color="auto" w:fill="ffffff"/>
              <w:lang w:val="en-US"/>
            </w:rPr>
            <w:t xml:space="preserve">III</w:t>
          </w:r>
          <w:r>
            <w:rPr>
              <w:sz w:val="23"/>
              <w:szCs w:val="23"/>
              <w:shd w:val="clear" w:color="auto" w:fill="ffffff"/>
            </w:rPr>
            <w:t xml:space="preserve">, ком. 4, ман., пом. </w:t>
          </w:r>
          <w:r>
            <w:rPr>
              <w:sz w:val="23"/>
              <w:szCs w:val="23"/>
              <w:shd w:val="clear" w:color="auto" w:fill="ffffff"/>
              <w:lang w:val="en-US"/>
            </w:rPr>
            <w:t xml:space="preserve">I</w:t>
          </w:r>
          <w:r>
            <w:rPr>
              <w:sz w:val="23"/>
              <w:szCs w:val="23"/>
              <w:shd w:val="clear" w:color="auto" w:fill="ffffff"/>
            </w:rPr>
            <w:t xml:space="preserve">, ком. 6</w:t>
          </w:r>
        </w:sdtContent>
      </w:sdt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В случае отзыва согласия на обработку персональных данных оператор вправе продолжить обработку персональных данных без согласия пользователя при наличии оснований, указанных в </w:t>
      </w:r>
      <w:r>
        <w:rPr>
          <w:sz w:val="23"/>
          <w:szCs w:val="23"/>
        </w:rPr>
        <w:t xml:space="preserve">пп</w:t>
      </w:r>
      <w:r>
        <w:rPr>
          <w:sz w:val="23"/>
          <w:szCs w:val="23"/>
        </w:rPr>
        <w:t xml:space="preserve">. 2 - 11 ч. 1 статьи 6 Закона о персональных данных.</w:t>
      </w:r>
      <w:r>
        <w:rPr>
          <w:sz w:val="23"/>
          <w:szCs w:val="23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b w:val="0"/>
        <w:b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64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color w:val="000000" w:themeColor="text1"/>
        <w:sz w:val="28"/>
        <w:szCs w:val="28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4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4"/>
    <w:link w:val="62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4"/>
    <w:link w:val="6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4"/>
    <w:link w:val="6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4"/>
    <w:link w:val="6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4"/>
    <w:link w:val="6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34"/>
    <w:link w:val="6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34"/>
    <w:link w:val="6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34"/>
    <w:link w:val="6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4"/>
    <w:link w:val="646"/>
    <w:uiPriority w:val="10"/>
    <w:rPr>
      <w:sz w:val="48"/>
      <w:szCs w:val="48"/>
    </w:rPr>
  </w:style>
  <w:style w:type="character" w:styleId="38">
    <w:name w:val="Subtitle Char"/>
    <w:basedOn w:val="634"/>
    <w:link w:val="648"/>
    <w:uiPriority w:val="11"/>
    <w:rPr>
      <w:sz w:val="24"/>
      <w:szCs w:val="24"/>
    </w:rPr>
  </w:style>
  <w:style w:type="character" w:styleId="40">
    <w:name w:val="Quote Char"/>
    <w:link w:val="651"/>
    <w:uiPriority w:val="29"/>
    <w:rPr>
      <w:i/>
    </w:rPr>
  </w:style>
  <w:style w:type="character" w:styleId="42">
    <w:name w:val="Intense Quote Char"/>
    <w:link w:val="653"/>
    <w:uiPriority w:val="30"/>
    <w:rPr>
      <w:i/>
    </w:rPr>
  </w:style>
  <w:style w:type="paragraph" w:styleId="43">
    <w:name w:val="Header"/>
    <w:basedOn w:val="6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4"/>
    <w:link w:val="43"/>
    <w:uiPriority w:val="99"/>
  </w:style>
  <w:style w:type="paragraph" w:styleId="45">
    <w:name w:val="Footer"/>
    <w:basedOn w:val="6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4"/>
    <w:link w:val="45"/>
    <w:uiPriority w:val="99"/>
  </w:style>
  <w:style w:type="paragraph" w:styleId="47">
    <w:name w:val="Caption"/>
    <w:basedOn w:val="624"/>
    <w:next w:val="6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4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4"/>
    <w:uiPriority w:val="99"/>
    <w:unhideWhenUsed/>
    <w:rPr>
      <w:vertAlign w:val="superscript"/>
    </w:rPr>
  </w:style>
  <w:style w:type="paragraph" w:styleId="179">
    <w:name w:val="endnote text"/>
    <w:basedOn w:val="6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4"/>
    <w:uiPriority w:val="99"/>
    <w:semiHidden/>
    <w:unhideWhenUsed/>
    <w:rPr>
      <w:vertAlign w:val="superscript"/>
    </w:rPr>
  </w:style>
  <w:style w:type="paragraph" w:styleId="182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2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  <w:qFormat/>
  </w:style>
  <w:style w:type="paragraph" w:styleId="625">
    <w:name w:val="Heading 1"/>
    <w:basedOn w:val="624"/>
    <w:next w:val="624"/>
    <w:link w:val="637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/>
      <w:color w:val="0f4761" w:themeColor="accent1" w:themeShade="BF"/>
      <w:sz w:val="40"/>
      <w:szCs w:val="40"/>
    </w:rPr>
  </w:style>
  <w:style w:type="paragraph" w:styleId="626">
    <w:name w:val="Heading 2"/>
    <w:basedOn w:val="624"/>
    <w:next w:val="624"/>
    <w:link w:val="638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/>
      <w:color w:val="0f4761" w:themeColor="accent1" w:themeShade="BF"/>
      <w:sz w:val="32"/>
    </w:rPr>
  </w:style>
  <w:style w:type="paragraph" w:styleId="627">
    <w:name w:val="Heading 3"/>
    <w:basedOn w:val="624"/>
    <w:next w:val="624"/>
    <w:link w:val="639"/>
    <w:uiPriority w:val="9"/>
    <w:unhideWhenUsed/>
    <w:qFormat/>
    <w:pPr>
      <w:keepLines/>
      <w:keepNext/>
      <w:spacing w:before="160" w:after="80"/>
      <w:outlineLvl w:val="2"/>
    </w:pPr>
    <w:rPr>
      <w:rFonts w:asciiTheme="minorHAnsi" w:hAnsiTheme="minorHAnsi" w:eastAsiaTheme="majorEastAsia"/>
      <w:color w:val="0f4761" w:themeColor="accent1" w:themeShade="BF"/>
    </w:rPr>
  </w:style>
  <w:style w:type="paragraph" w:styleId="628">
    <w:name w:val="Heading 4"/>
    <w:basedOn w:val="624"/>
    <w:next w:val="624"/>
    <w:link w:val="640"/>
    <w:uiPriority w:val="9"/>
    <w:semiHidden/>
    <w:unhideWhenUsed/>
    <w:qFormat/>
    <w:pPr>
      <w:keepLines/>
      <w:keepNext/>
      <w:spacing w:before="80" w:after="40"/>
      <w:outlineLvl w:val="3"/>
    </w:pPr>
    <w:rPr>
      <w:rFonts w:asciiTheme="minorHAnsi" w:hAnsiTheme="minorHAnsi" w:eastAsiaTheme="majorEastAsia"/>
      <w:i/>
      <w:iCs/>
      <w:color w:val="0f4761" w:themeColor="accent1" w:themeShade="BF"/>
    </w:rPr>
  </w:style>
  <w:style w:type="paragraph" w:styleId="629">
    <w:name w:val="Heading 5"/>
    <w:basedOn w:val="624"/>
    <w:next w:val="624"/>
    <w:link w:val="641"/>
    <w:uiPriority w:val="9"/>
    <w:semiHidden/>
    <w:unhideWhenUsed/>
    <w:qFormat/>
    <w:pPr>
      <w:keepLines/>
      <w:keepNext/>
      <w:spacing w:before="80" w:after="40"/>
      <w:outlineLvl w:val="4"/>
    </w:pPr>
    <w:rPr>
      <w:rFonts w:asciiTheme="minorHAnsi" w:hAnsiTheme="minorHAnsi" w:eastAsiaTheme="majorEastAsia"/>
      <w:color w:val="0f4761" w:themeColor="accent1" w:themeShade="BF"/>
    </w:rPr>
  </w:style>
  <w:style w:type="paragraph" w:styleId="630">
    <w:name w:val="Heading 6"/>
    <w:basedOn w:val="624"/>
    <w:next w:val="624"/>
    <w:link w:val="642"/>
    <w:uiPriority w:val="9"/>
    <w:semiHidden/>
    <w:unhideWhenUsed/>
    <w:qFormat/>
    <w:pPr>
      <w:keepLines/>
      <w:keepNext/>
      <w:spacing w:before="40" w:after="0"/>
      <w:outlineLvl w:val="5"/>
    </w:pPr>
    <w:rPr>
      <w:rFonts w:asciiTheme="minorHAnsi" w:hAnsiTheme="minorHAnsi" w:eastAsiaTheme="majorEastAsia"/>
      <w:i/>
      <w:iCs/>
      <w:color w:val="595959" w:themeColor="text1" w:themeTint="A6"/>
    </w:rPr>
  </w:style>
  <w:style w:type="paragraph" w:styleId="631">
    <w:name w:val="Heading 7"/>
    <w:basedOn w:val="624"/>
    <w:next w:val="624"/>
    <w:link w:val="643"/>
    <w:uiPriority w:val="9"/>
    <w:semiHidden/>
    <w:unhideWhenUsed/>
    <w:qFormat/>
    <w:pPr>
      <w:keepLines/>
      <w:keepNext/>
      <w:spacing w:before="40" w:after="0"/>
      <w:outlineLvl w:val="6"/>
    </w:pPr>
    <w:rPr>
      <w:rFonts w:asciiTheme="minorHAnsi" w:hAnsiTheme="minorHAnsi" w:eastAsiaTheme="majorEastAsia"/>
      <w:color w:val="595959" w:themeColor="text1" w:themeTint="A6"/>
    </w:rPr>
  </w:style>
  <w:style w:type="paragraph" w:styleId="632">
    <w:name w:val="Heading 8"/>
    <w:basedOn w:val="624"/>
    <w:next w:val="624"/>
    <w:link w:val="644"/>
    <w:uiPriority w:val="9"/>
    <w:semiHidden/>
    <w:unhideWhenUsed/>
    <w:qFormat/>
    <w:pPr>
      <w:keepLines/>
      <w:keepNext/>
      <w:spacing w:after="0"/>
      <w:outlineLvl w:val="7"/>
    </w:pPr>
    <w:rPr>
      <w:rFonts w:asciiTheme="minorHAnsi" w:hAnsiTheme="minorHAnsi" w:eastAsiaTheme="majorEastAsia"/>
      <w:i/>
      <w:iCs/>
      <w:color w:val="272727" w:themeColor="text1" w:themeTint="D8"/>
    </w:rPr>
  </w:style>
  <w:style w:type="paragraph" w:styleId="633">
    <w:name w:val="Heading 9"/>
    <w:basedOn w:val="624"/>
    <w:next w:val="624"/>
    <w:link w:val="645"/>
    <w:uiPriority w:val="9"/>
    <w:semiHidden/>
    <w:unhideWhenUsed/>
    <w:qFormat/>
    <w:pPr>
      <w:keepLines/>
      <w:keepNext/>
      <w:spacing w:after="0"/>
      <w:outlineLvl w:val="8"/>
    </w:pPr>
    <w:rPr>
      <w:rFonts w:asciiTheme="minorHAnsi" w:hAnsiTheme="minorHAnsi" w:eastAsiaTheme="majorEastAsia"/>
      <w:color w:val="272727" w:themeColor="text1" w:themeTint="D8"/>
    </w:rPr>
  </w:style>
  <w:style w:type="character" w:styleId="634" w:default="1">
    <w:name w:val="Default Paragraph Font"/>
    <w:uiPriority w:val="1"/>
    <w:semiHidden/>
    <w:unhideWhenUsed/>
  </w:style>
  <w:style w:type="table" w:styleId="6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6" w:default="1">
    <w:name w:val="No List"/>
    <w:uiPriority w:val="99"/>
    <w:semiHidden/>
    <w:unhideWhenUsed/>
  </w:style>
  <w:style w:type="character" w:styleId="637" w:customStyle="1">
    <w:name w:val="Заголовок 1 Знак"/>
    <w:basedOn w:val="634"/>
    <w:link w:val="625"/>
    <w:uiPriority w:val="9"/>
    <w:rPr>
      <w:rFonts w:asciiTheme="majorHAnsi" w:hAnsiTheme="majorHAnsi" w:eastAsiaTheme="majorEastAsia"/>
      <w:color w:val="0f4761" w:themeColor="accent1" w:themeShade="BF"/>
      <w:sz w:val="40"/>
      <w:szCs w:val="40"/>
    </w:rPr>
  </w:style>
  <w:style w:type="character" w:styleId="638" w:customStyle="1">
    <w:name w:val="Заголовок 2 Знак"/>
    <w:basedOn w:val="634"/>
    <w:link w:val="626"/>
    <w:uiPriority w:val="9"/>
    <w:semiHidden/>
    <w:rPr>
      <w:rFonts w:asciiTheme="majorHAnsi" w:hAnsiTheme="majorHAnsi" w:eastAsiaTheme="majorEastAsia"/>
      <w:color w:val="0f4761" w:themeColor="accent1" w:themeShade="BF"/>
      <w:sz w:val="32"/>
    </w:rPr>
  </w:style>
  <w:style w:type="character" w:styleId="639" w:customStyle="1">
    <w:name w:val="Заголовок 3 Знак"/>
    <w:basedOn w:val="634"/>
    <w:link w:val="627"/>
    <w:uiPriority w:val="9"/>
    <w:rPr>
      <w:rFonts w:asciiTheme="minorHAnsi" w:hAnsiTheme="minorHAnsi" w:eastAsiaTheme="majorEastAsia"/>
      <w:color w:val="0f4761" w:themeColor="accent1" w:themeShade="BF"/>
    </w:rPr>
  </w:style>
  <w:style w:type="character" w:styleId="640" w:customStyle="1">
    <w:name w:val="Заголовок 4 Знак"/>
    <w:basedOn w:val="634"/>
    <w:link w:val="628"/>
    <w:uiPriority w:val="9"/>
    <w:semiHidden/>
    <w:rPr>
      <w:rFonts w:asciiTheme="minorHAnsi" w:hAnsiTheme="minorHAnsi" w:eastAsiaTheme="majorEastAsia"/>
      <w:i/>
      <w:iCs/>
      <w:color w:val="0f4761" w:themeColor="accent1" w:themeShade="BF"/>
    </w:rPr>
  </w:style>
  <w:style w:type="character" w:styleId="641" w:customStyle="1">
    <w:name w:val="Заголовок 5 Знак"/>
    <w:basedOn w:val="634"/>
    <w:link w:val="629"/>
    <w:uiPriority w:val="9"/>
    <w:semiHidden/>
    <w:rPr>
      <w:rFonts w:asciiTheme="minorHAnsi" w:hAnsiTheme="minorHAnsi" w:eastAsiaTheme="majorEastAsia"/>
      <w:color w:val="0f4761" w:themeColor="accent1" w:themeShade="BF"/>
    </w:rPr>
  </w:style>
  <w:style w:type="character" w:styleId="642" w:customStyle="1">
    <w:name w:val="Заголовок 6 Знак"/>
    <w:basedOn w:val="634"/>
    <w:link w:val="630"/>
    <w:uiPriority w:val="9"/>
    <w:semiHidden/>
    <w:rPr>
      <w:rFonts w:asciiTheme="minorHAnsi" w:hAnsiTheme="minorHAnsi" w:eastAsiaTheme="majorEastAsia"/>
      <w:i/>
      <w:iCs/>
      <w:color w:val="595959" w:themeColor="text1" w:themeTint="A6"/>
    </w:rPr>
  </w:style>
  <w:style w:type="character" w:styleId="643" w:customStyle="1">
    <w:name w:val="Заголовок 7 Знак"/>
    <w:basedOn w:val="634"/>
    <w:link w:val="631"/>
    <w:uiPriority w:val="9"/>
    <w:semiHidden/>
    <w:rPr>
      <w:rFonts w:asciiTheme="minorHAnsi" w:hAnsiTheme="minorHAnsi" w:eastAsiaTheme="majorEastAsia"/>
      <w:color w:val="595959" w:themeColor="text1" w:themeTint="A6"/>
    </w:rPr>
  </w:style>
  <w:style w:type="character" w:styleId="644" w:customStyle="1">
    <w:name w:val="Заголовок 8 Знак"/>
    <w:basedOn w:val="634"/>
    <w:link w:val="632"/>
    <w:uiPriority w:val="9"/>
    <w:semiHidden/>
    <w:rPr>
      <w:rFonts w:asciiTheme="minorHAnsi" w:hAnsiTheme="minorHAnsi" w:eastAsiaTheme="majorEastAsia"/>
      <w:i/>
      <w:iCs/>
      <w:color w:val="272727" w:themeColor="text1" w:themeTint="D8"/>
    </w:rPr>
  </w:style>
  <w:style w:type="character" w:styleId="645" w:customStyle="1">
    <w:name w:val="Заголовок 9 Знак"/>
    <w:basedOn w:val="634"/>
    <w:link w:val="633"/>
    <w:uiPriority w:val="9"/>
    <w:semiHidden/>
    <w:rPr>
      <w:rFonts w:asciiTheme="minorHAnsi" w:hAnsiTheme="minorHAnsi" w:eastAsiaTheme="majorEastAsia"/>
      <w:color w:val="272727" w:themeColor="text1" w:themeTint="D8"/>
    </w:rPr>
  </w:style>
  <w:style w:type="paragraph" w:styleId="646">
    <w:name w:val="Title"/>
    <w:basedOn w:val="624"/>
    <w:next w:val="624"/>
    <w:link w:val="647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/>
      <w:color w:val="auto"/>
      <w:spacing w:val="-10"/>
      <w:sz w:val="56"/>
      <w:szCs w:val="56"/>
    </w:rPr>
  </w:style>
  <w:style w:type="character" w:styleId="647" w:customStyle="1">
    <w:name w:val="Заголовок Знак"/>
    <w:basedOn w:val="634"/>
    <w:link w:val="646"/>
    <w:uiPriority w:val="10"/>
    <w:rPr>
      <w:rFonts w:asciiTheme="majorHAnsi" w:hAnsiTheme="majorHAnsi" w:eastAsiaTheme="majorEastAsia"/>
      <w:color w:val="auto"/>
      <w:spacing w:val="-10"/>
      <w:sz w:val="56"/>
      <w:szCs w:val="56"/>
    </w:rPr>
  </w:style>
  <w:style w:type="paragraph" w:styleId="648">
    <w:name w:val="Subtitle"/>
    <w:basedOn w:val="624"/>
    <w:next w:val="624"/>
    <w:link w:val="649"/>
    <w:uiPriority w:val="11"/>
    <w:qFormat/>
    <w:pPr>
      <w:numPr>
        <w:ilvl w:val="1"/>
      </w:numPr>
    </w:pPr>
    <w:rPr>
      <w:rFonts w:asciiTheme="minorHAnsi" w:hAnsiTheme="minorHAnsi" w:eastAsiaTheme="majorEastAsia"/>
      <w:color w:val="595959" w:themeColor="text1" w:themeTint="A6"/>
      <w:spacing w:val="15"/>
    </w:rPr>
  </w:style>
  <w:style w:type="character" w:styleId="649" w:customStyle="1">
    <w:name w:val="Подзаголовок Знак"/>
    <w:basedOn w:val="634"/>
    <w:link w:val="648"/>
    <w:uiPriority w:val="11"/>
    <w:rPr>
      <w:rFonts w:asciiTheme="minorHAnsi" w:hAnsiTheme="minorHAnsi" w:eastAsiaTheme="majorEastAsia"/>
      <w:color w:val="595959" w:themeColor="text1" w:themeTint="A6"/>
      <w:spacing w:val="15"/>
    </w:rPr>
  </w:style>
  <w:style w:type="paragraph" w:styleId="650">
    <w:name w:val="List Paragraph"/>
    <w:basedOn w:val="624"/>
    <w:uiPriority w:val="34"/>
    <w:qFormat/>
    <w:pPr>
      <w:contextualSpacing/>
      <w:ind w:left="720"/>
    </w:pPr>
  </w:style>
  <w:style w:type="paragraph" w:styleId="651">
    <w:name w:val="Quote"/>
    <w:basedOn w:val="624"/>
    <w:next w:val="624"/>
    <w:link w:val="652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52" w:customStyle="1">
    <w:name w:val="Цитата 2 Знак"/>
    <w:basedOn w:val="634"/>
    <w:link w:val="651"/>
    <w:uiPriority w:val="29"/>
    <w:rPr>
      <w:i/>
      <w:iCs/>
      <w:color w:val="404040" w:themeColor="text1" w:themeTint="BF"/>
    </w:rPr>
  </w:style>
  <w:style w:type="paragraph" w:styleId="653">
    <w:name w:val="Intense Quote"/>
    <w:basedOn w:val="624"/>
    <w:next w:val="624"/>
    <w:link w:val="654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54" w:customStyle="1">
    <w:name w:val="Выделенная цитата Знак"/>
    <w:basedOn w:val="634"/>
    <w:link w:val="653"/>
    <w:uiPriority w:val="30"/>
    <w:rPr>
      <w:i/>
      <w:iCs/>
      <w:color w:val="0f4761" w:themeColor="accent1" w:themeShade="BF"/>
    </w:rPr>
  </w:style>
  <w:style w:type="character" w:styleId="655">
    <w:name w:val="Intense Emphasis"/>
    <w:basedOn w:val="634"/>
    <w:uiPriority w:val="21"/>
    <w:qFormat/>
    <w:rPr>
      <w:i/>
      <w:iCs/>
      <w:color w:val="0f4761" w:themeColor="accent1" w:themeShade="BF"/>
    </w:rPr>
  </w:style>
  <w:style w:type="character" w:styleId="656">
    <w:name w:val="Intense Reference"/>
    <w:basedOn w:val="634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657">
    <w:name w:val="TOC Heading"/>
    <w:basedOn w:val="625"/>
    <w:next w:val="624"/>
    <w:uiPriority w:val="39"/>
    <w:unhideWhenUsed/>
    <w:qFormat/>
    <w:pPr>
      <w:spacing w:before="240" w:after="0"/>
      <w:outlineLvl w:val="9"/>
    </w:pPr>
    <w:rPr>
      <w:sz w:val="32"/>
      <w:szCs w:val="32"/>
      <w:lang w:eastAsia="ru-RU"/>
    </w:rPr>
  </w:style>
  <w:style w:type="paragraph" w:styleId="658" w:customStyle="1">
    <w:name w:val="Стиль1"/>
    <w:qFormat/>
    <w:pPr>
      <w:spacing w:line="276" w:lineRule="auto"/>
    </w:pPr>
  </w:style>
  <w:style w:type="paragraph" w:styleId="659" w:customStyle="1">
    <w:name w:val="Для шаблонов"/>
    <w:basedOn w:val="624"/>
    <w:link w:val="660"/>
    <w:qFormat/>
    <w:rPr>
      <w:sz w:val="24"/>
    </w:rPr>
  </w:style>
  <w:style w:type="character" w:styleId="660" w:customStyle="1">
    <w:name w:val="Для шаблонов Знак"/>
    <w:basedOn w:val="634"/>
    <w:link w:val="659"/>
    <w:rPr>
      <w:sz w:val="24"/>
    </w:rPr>
  </w:style>
  <w:style w:type="character" w:styleId="661">
    <w:name w:val="Hyperlink"/>
    <w:basedOn w:val="634"/>
    <w:uiPriority w:val="99"/>
    <w:unhideWhenUsed/>
    <w:rPr>
      <w:color w:val="467886" w:themeColor="hyperlink"/>
      <w:u w:val="single"/>
    </w:rPr>
  </w:style>
  <w:style w:type="character" w:styleId="662" w:customStyle="1">
    <w:name w:val="Неразрешенное упоминание1"/>
    <w:basedOn w:val="634"/>
    <w:uiPriority w:val="99"/>
    <w:semiHidden/>
    <w:unhideWhenUsed/>
    <w:rPr>
      <w:color w:val="605e5c"/>
      <w:shd w:val="clear" w:color="auto" w:fill="e1dfdd"/>
    </w:rPr>
  </w:style>
  <w:style w:type="character" w:styleId="663">
    <w:name w:val="FollowedHyperlink"/>
    <w:basedOn w:val="634"/>
    <w:uiPriority w:val="99"/>
    <w:semiHidden/>
    <w:unhideWhenUsed/>
    <w:rPr>
      <w:color w:val="96607d" w:themeColor="followedHyperlink"/>
      <w:u w:val="single"/>
    </w:rPr>
  </w:style>
  <w:style w:type="table" w:styleId="664">
    <w:name w:val="Table Grid"/>
    <w:basedOn w:val="6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65" w:customStyle="1">
    <w:name w:val="Неразрешенное упоминание2"/>
    <w:basedOn w:val="634"/>
    <w:uiPriority w:val="99"/>
    <w:semiHidden/>
    <w:unhideWhenUsed/>
    <w:rPr>
      <w:color w:val="605e5c"/>
      <w:shd w:val="clear" w:color="auto" w:fill="e1dfdd"/>
    </w:rPr>
  </w:style>
  <w:style w:type="character" w:styleId="666">
    <w:name w:val="Placeholder Text"/>
    <w:basedOn w:val="634"/>
    <w:uiPriority w:val="99"/>
    <w:semiHidden/>
    <w:rPr>
      <w:color w:val="666666"/>
    </w:rPr>
  </w:style>
  <w:style w:type="paragraph" w:styleId="667">
    <w:name w:val="Normal (Web)"/>
    <w:basedOn w:val="624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  <w14:ligatures w14:val="none"/>
    </w:rPr>
  </w:style>
  <w:style w:type="character" w:styleId="668">
    <w:name w:val="Strong"/>
    <w:basedOn w:val="634"/>
    <w:uiPriority w:val="22"/>
    <w:qFormat/>
    <w:rPr>
      <w:b/>
      <w:bCs/>
    </w:rPr>
  </w:style>
  <w:style w:type="character" w:styleId="669">
    <w:name w:val="Unresolved Mention"/>
    <w:basedOn w:val="63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https://urvista.ru/" TargetMode="External"/><Relationship Id="rId12" Type="http://schemas.openxmlformats.org/officeDocument/2006/relationships/hyperlink" Target="mailto:info@urvist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F21D6C-9EE8-419C-A8A9-1F53B0705A4C}"/>
      </w:docPartPr>
      <w:docPartBody>
        <w:p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323D4EDD93074F3DA39EF984C0AE9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A9E124-6721-4E3F-B48E-10BEE1EF6446}"/>
      </w:docPartPr>
      <w:docPartBody>
        <w:p>
          <w:pPr>
            <w:pStyle w:val="1106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3BBD59A2C53A46C7A802FEB55264DC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9D7237-561E-4484-98AF-E30763E2DAED}"/>
      </w:docPartPr>
      <w:docPartBody>
        <w:p>
          <w:pPr>
            <w:pStyle w:val="1107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E347E8B907574FFE841BFF65BFCB2D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CFE80-B8BC-4578-B891-7AB14511A9E9}"/>
      </w:docPartPr>
      <w:docPartBody>
        <w:p>
          <w:pPr>
            <w:pStyle w:val="1108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6B1420B1A43E43A19B0DFACF16C86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84A8DA-2113-4284-9CA8-52896ED3C9C0}"/>
      </w:docPartPr>
      <w:docPartBody>
        <w:p>
          <w:pPr>
            <w:pStyle w:val="1109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101"/>
    <w:next w:val="1101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102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101"/>
    <w:next w:val="1101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102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101"/>
    <w:next w:val="1101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102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101"/>
    <w:next w:val="1101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102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101"/>
    <w:next w:val="1101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102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101"/>
    <w:next w:val="1101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102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101"/>
    <w:next w:val="1101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102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101"/>
    <w:next w:val="1101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102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101"/>
    <w:next w:val="1101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102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101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101"/>
    <w:next w:val="1101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102"/>
    <w:link w:val="272"/>
    <w:uiPriority w:val="10"/>
    <w:rPr>
      <w:sz w:val="48"/>
      <w:szCs w:val="48"/>
    </w:rPr>
  </w:style>
  <w:style w:type="paragraph" w:styleId="274">
    <w:name w:val="Subtitle"/>
    <w:basedOn w:val="1101"/>
    <w:next w:val="1101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102"/>
    <w:link w:val="274"/>
    <w:uiPriority w:val="11"/>
    <w:rPr>
      <w:sz w:val="24"/>
      <w:szCs w:val="24"/>
    </w:rPr>
  </w:style>
  <w:style w:type="paragraph" w:styleId="276">
    <w:name w:val="Quote"/>
    <w:basedOn w:val="1101"/>
    <w:next w:val="1101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101"/>
    <w:next w:val="1101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101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102"/>
    <w:link w:val="280"/>
    <w:uiPriority w:val="99"/>
  </w:style>
  <w:style w:type="paragraph" w:styleId="282">
    <w:name w:val="Footer"/>
    <w:basedOn w:val="1101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102"/>
    <w:link w:val="282"/>
    <w:uiPriority w:val="99"/>
  </w:style>
  <w:style w:type="paragraph" w:styleId="284">
    <w:name w:val="Caption"/>
    <w:basedOn w:val="1101"/>
    <w:next w:val="1101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102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1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1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1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1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386">
    <w:name w:val="List Table 7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387">
    <w:name w:val="List Table 7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388">
    <w:name w:val="List Table 7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389">
    <w:name w:val="List Table 7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390">
    <w:name w:val="List Table 7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391">
    <w:name w:val="Lined - Accent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393">
    <w:name w:val="Lined - Accent 2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394">
    <w:name w:val="Lined - Accent 3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395">
    <w:name w:val="Lined - Accent 4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396">
    <w:name w:val="Lined - Accent 5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397">
    <w:name w:val="Lined - Accent 6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398">
    <w:name w:val="Bordered &amp; Lined - Accent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400">
    <w:name w:val="Bordered &amp; Lined - Accent 2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401">
    <w:name w:val="Bordered &amp; Lined - Accent 3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402">
    <w:name w:val="Bordered &amp; Lined - Accent 4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403">
    <w:name w:val="Bordered &amp; Lined - Accent 5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404">
    <w:name w:val="Bordered &amp; Lined - Accent 6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405">
    <w:name w:val="Bordered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101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102"/>
    <w:uiPriority w:val="99"/>
    <w:unhideWhenUsed/>
    <w:rPr>
      <w:vertAlign w:val="superscript"/>
    </w:rPr>
  </w:style>
  <w:style w:type="paragraph" w:styleId="416">
    <w:name w:val="endnote text"/>
    <w:basedOn w:val="1101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102"/>
    <w:uiPriority w:val="99"/>
    <w:semiHidden/>
    <w:unhideWhenUsed/>
    <w:rPr>
      <w:vertAlign w:val="superscript"/>
    </w:rPr>
  </w:style>
  <w:style w:type="paragraph" w:styleId="419">
    <w:name w:val="toc 1"/>
    <w:basedOn w:val="1101"/>
    <w:next w:val="1101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101"/>
    <w:next w:val="1101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101"/>
    <w:next w:val="1101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101"/>
    <w:next w:val="1101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101"/>
    <w:next w:val="1101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101"/>
    <w:next w:val="1101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101"/>
    <w:next w:val="1101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101"/>
    <w:next w:val="1101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101"/>
    <w:next w:val="1101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101"/>
    <w:next w:val="1101"/>
    <w:uiPriority w:val="99"/>
    <w:unhideWhenUsed/>
    <w:pPr>
      <w:spacing w:after="0" w:afterAutospacing="0"/>
    </w:pPr>
  </w:style>
  <w:style w:type="paragraph" w:styleId="1101" w:default="1">
    <w:name w:val="Normal"/>
    <w:qFormat/>
  </w:style>
  <w:style w:type="character" w:styleId="1102" w:default="1">
    <w:name w:val="Default Paragraph Font"/>
    <w:uiPriority w:val="1"/>
    <w:semiHidden/>
    <w:unhideWhenUsed/>
  </w:style>
  <w:style w:type="table" w:styleId="11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04" w:default="1">
    <w:name w:val="No List"/>
    <w:uiPriority w:val="99"/>
    <w:semiHidden/>
    <w:unhideWhenUsed/>
  </w:style>
  <w:style w:type="character" w:styleId="1105">
    <w:name w:val="Placeholder Text"/>
    <w:basedOn w:val="1102"/>
    <w:uiPriority w:val="99"/>
    <w:semiHidden/>
    <w:rPr>
      <w:color w:val="666666"/>
    </w:rPr>
  </w:style>
  <w:style w:type="paragraph" w:styleId="1106" w:customStyle="1">
    <w:name w:val="323D4EDD93074F3DA39EF984C0AE9A721"/>
    <w:pPr>
      <w:spacing w:line="259" w:lineRule="auto"/>
    </w:pPr>
    <w:rPr>
      <w:rFonts w:ascii="Times New Roman" w:hAnsi="Times New Roman" w:cs="Times New Roman" w:eastAsiaTheme="minorHAnsi"/>
      <w:color w:val="000000" w:themeColor="text1"/>
      <w:sz w:val="28"/>
      <w:szCs w:val="28"/>
      <w:lang w:eastAsia="en-US"/>
    </w:rPr>
  </w:style>
  <w:style w:type="paragraph" w:styleId="1107" w:customStyle="1">
    <w:name w:val="3BBD59A2C53A46C7A802FEB55264DCFD"/>
    <w:pPr>
      <w:spacing w:line="259" w:lineRule="auto"/>
    </w:pPr>
    <w:rPr>
      <w:rFonts w:ascii="Times New Roman" w:hAnsi="Times New Roman" w:cs="Times New Roman" w:eastAsiaTheme="minorHAnsi"/>
      <w:color w:val="000000" w:themeColor="text1"/>
      <w:sz w:val="28"/>
      <w:szCs w:val="28"/>
      <w:lang w:eastAsia="en-US"/>
    </w:rPr>
  </w:style>
  <w:style w:type="paragraph" w:styleId="1108" w:customStyle="1">
    <w:name w:val="E347E8B907574FFE841BFF65BFCB2DDE"/>
  </w:style>
  <w:style w:type="paragraph" w:styleId="1109" w:customStyle="1">
    <w:name w:val="6B1420B1A43E43A19B0DFACF16C867B2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Другая 1">
      <a:majorFont>
        <a:latin typeface="Times New Roman"/>
        <a:ea typeface="Liberation Sans"/>
        <a:cs typeface="Liberation Sans"/>
      </a:majorFont>
      <a:minorFont>
        <a:latin typeface="Times New Roman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5C690-3017-4928-9E9F-4745AA47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Маслова</dc:creator>
  <cp:keywords/>
  <dc:description/>
  <cp:lastModifiedBy>Вячеслав Тиббит</cp:lastModifiedBy>
  <cp:revision>18</cp:revision>
  <dcterms:created xsi:type="dcterms:W3CDTF">2026-05-28T15:58:00Z</dcterms:created>
  <dcterms:modified xsi:type="dcterms:W3CDTF">2026-07-30T14:21:28Z</dcterms:modified>
</cp:coreProperties>
</file>